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8CD28" w14:textId="77777777" w:rsidR="000B1010" w:rsidRPr="000A11C4" w:rsidRDefault="000B1010" w:rsidP="000B1010">
      <w:pPr>
        <w:jc w:val="center"/>
        <w:rPr>
          <w:b/>
        </w:rPr>
      </w:pPr>
      <w:bookmarkStart w:id="0" w:name="_Hlk184714434"/>
      <w:bookmarkStart w:id="1" w:name="_Hlk184714461"/>
      <w:bookmarkStart w:id="2" w:name="_Hlk184714479"/>
      <w:r w:rsidRPr="000A11C4">
        <w:rPr>
          <w:b/>
        </w:rPr>
        <w:t>AIŠKINAMASIS RAŠTAS</w:t>
      </w:r>
    </w:p>
    <w:p w14:paraId="6A18CD29" w14:textId="77777777" w:rsidR="000B1010" w:rsidRPr="000A11C4" w:rsidRDefault="000B1010" w:rsidP="000B1010">
      <w:pPr>
        <w:jc w:val="center"/>
        <w:rPr>
          <w:b/>
        </w:rPr>
      </w:pPr>
      <w:r w:rsidRPr="000A11C4">
        <w:rPr>
          <w:b/>
        </w:rPr>
        <w:t>PRIE SKUODO RAJONO SAVIVALDYBĖS TARYBOS SPRENDIMO PROJEKTO</w:t>
      </w:r>
    </w:p>
    <w:p w14:paraId="6A18CD2A" w14:textId="77777777" w:rsidR="000B1010" w:rsidRPr="00B46E72" w:rsidRDefault="000B1010" w:rsidP="000B1010">
      <w:pPr>
        <w:jc w:val="center"/>
        <w:rPr>
          <w:szCs w:val="24"/>
        </w:rPr>
      </w:pPr>
      <w:r w:rsidRPr="000C0DB1">
        <w:rPr>
          <w:b/>
        </w:rPr>
        <w:t>DĖL PRITARIMO PROJEKTO „</w:t>
      </w:r>
      <w:r>
        <w:rPr>
          <w:b/>
        </w:rPr>
        <w:t>PRIEDANGŲ INFRASTRUKTŪROS PLĖTRA SKUODO RAJONO SAVIVALDYBĖJE</w:t>
      </w:r>
      <w:r w:rsidRPr="00B46E72">
        <w:rPr>
          <w:b/>
          <w:szCs w:val="24"/>
        </w:rPr>
        <w:t>“ RENGIMUI IR FINANSAVIMUI</w:t>
      </w:r>
    </w:p>
    <w:p w14:paraId="6A18CD2B" w14:textId="77777777" w:rsidR="000B1010" w:rsidRDefault="000B1010" w:rsidP="000B1010">
      <w:pPr>
        <w:jc w:val="center"/>
        <w:rPr>
          <w:bCs/>
          <w:szCs w:val="24"/>
          <w:lang w:eastAsia="ja-JP"/>
        </w:rPr>
      </w:pPr>
    </w:p>
    <w:p w14:paraId="6A18CD2C" w14:textId="2A4FC3D5" w:rsidR="000B1010" w:rsidRPr="002A46B1" w:rsidRDefault="000B1010" w:rsidP="000B1010">
      <w:pPr>
        <w:jc w:val="center"/>
        <w:rPr>
          <w:bCs/>
          <w:szCs w:val="24"/>
          <w:lang w:eastAsia="ja-JP"/>
        </w:rPr>
      </w:pPr>
      <w:r w:rsidRPr="002A46B1">
        <w:rPr>
          <w:bCs/>
          <w:szCs w:val="24"/>
          <w:lang w:eastAsia="ja-JP"/>
        </w:rPr>
        <w:t xml:space="preserve">2024 m. </w:t>
      </w:r>
      <w:r>
        <w:rPr>
          <w:bCs/>
          <w:szCs w:val="24"/>
          <w:lang w:eastAsia="ja-JP"/>
        </w:rPr>
        <w:t>gruodžio</w:t>
      </w:r>
      <w:r w:rsidR="00C02BB0">
        <w:rPr>
          <w:bCs/>
          <w:szCs w:val="24"/>
          <w:lang w:eastAsia="ja-JP"/>
        </w:rPr>
        <w:t xml:space="preserve"> 10 </w:t>
      </w:r>
      <w:r w:rsidRPr="002A46B1">
        <w:rPr>
          <w:bCs/>
          <w:szCs w:val="24"/>
          <w:lang w:eastAsia="ja-JP"/>
        </w:rPr>
        <w:t xml:space="preserve">d. </w:t>
      </w:r>
      <w:r>
        <w:rPr>
          <w:bCs/>
          <w:szCs w:val="24"/>
          <w:lang w:eastAsia="ja-JP"/>
        </w:rPr>
        <w:t>Nr. T10-</w:t>
      </w:r>
      <w:r w:rsidR="00C02BB0">
        <w:rPr>
          <w:bCs/>
          <w:szCs w:val="24"/>
          <w:lang w:eastAsia="ja-JP"/>
        </w:rPr>
        <w:t>257</w:t>
      </w:r>
    </w:p>
    <w:p w14:paraId="6A18CD2D" w14:textId="77777777" w:rsidR="000B1010" w:rsidRDefault="000B1010" w:rsidP="000B1010">
      <w:pPr>
        <w:jc w:val="center"/>
        <w:rPr>
          <w:bCs/>
          <w:szCs w:val="24"/>
          <w:lang w:eastAsia="ja-JP"/>
        </w:rPr>
      </w:pPr>
      <w:r w:rsidRPr="002A46B1">
        <w:rPr>
          <w:bCs/>
          <w:szCs w:val="24"/>
          <w:lang w:eastAsia="ja-JP"/>
        </w:rPr>
        <w:t>Skuodas</w:t>
      </w:r>
    </w:p>
    <w:p w14:paraId="6A18CD2E" w14:textId="77777777" w:rsidR="000B1010" w:rsidRPr="002A46B1" w:rsidRDefault="000B1010" w:rsidP="000B1010">
      <w:pPr>
        <w:jc w:val="center"/>
        <w:rPr>
          <w:bCs/>
          <w:szCs w:val="24"/>
          <w:lang w:eastAsia="ja-JP"/>
        </w:rPr>
      </w:pPr>
    </w:p>
    <w:p w14:paraId="6A18CD2F" w14:textId="77777777" w:rsidR="000B1010" w:rsidRPr="000A11C4" w:rsidRDefault="000B1010" w:rsidP="000B1010">
      <w:pPr>
        <w:rPr>
          <w:bCs/>
          <w:sz w:val="4"/>
          <w:szCs w:val="4"/>
          <w:lang w:eastAsia="ja-JP"/>
        </w:rPr>
      </w:pPr>
    </w:p>
    <w:p w14:paraId="6A18CD30" w14:textId="4923C43D" w:rsidR="000B1010" w:rsidRPr="00E23D3D" w:rsidRDefault="00766935" w:rsidP="000B1010">
      <w:pPr>
        <w:ind w:firstLine="1247"/>
        <w:jc w:val="both"/>
        <w:rPr>
          <w:b/>
          <w:bCs/>
        </w:rPr>
      </w:pPr>
      <w:r w:rsidRPr="00E23D3D">
        <w:rPr>
          <w:b/>
          <w:bCs/>
        </w:rPr>
        <w:t>1.</w:t>
      </w:r>
      <w:r>
        <w:t xml:space="preserve"> </w:t>
      </w:r>
      <w:r w:rsidR="000B1010" w:rsidRPr="00E23D3D">
        <w:rPr>
          <w:b/>
          <w:bCs/>
        </w:rPr>
        <w:t>Parengto sprendimo projekto tikslas ir uždaviniai.</w:t>
      </w:r>
    </w:p>
    <w:p w14:paraId="6A18CD31" w14:textId="53AB8559" w:rsidR="000B1010" w:rsidRPr="000B1010" w:rsidRDefault="00766935" w:rsidP="000B1010">
      <w:pPr>
        <w:ind w:firstLine="1247"/>
        <w:jc w:val="both"/>
      </w:pPr>
      <w:r>
        <w:t>P</w:t>
      </w:r>
      <w:r w:rsidR="000B1010" w:rsidRPr="000B1010">
        <w:t>ritarti projekto „Priedangų infrastruktūros plėtra Skuodo rajono savivaldybėje“ rengimui ir finansavimui.</w:t>
      </w:r>
    </w:p>
    <w:p w14:paraId="6A18CD32" w14:textId="76278E0E" w:rsidR="000B1010" w:rsidRPr="000B1010" w:rsidRDefault="000B1010" w:rsidP="000B1010">
      <w:pPr>
        <w:ind w:firstLine="1247"/>
        <w:jc w:val="both"/>
      </w:pPr>
      <w:r w:rsidRPr="000B1010">
        <w:t xml:space="preserve">Remiama veikla – priedangų, įtrauktų į </w:t>
      </w:r>
      <w:r w:rsidR="00766935">
        <w:t>S</w:t>
      </w:r>
      <w:r w:rsidRPr="000B1010">
        <w:t xml:space="preserve">avivaldybės mero potvarkiu patvirtintą priedangų ir jų poreikių sąrašą (toliau – Priedangų sąrašas), įrengimas stiprinant jų atsparumą ir pritaikant riboto judumo asmenims. </w:t>
      </w:r>
    </w:p>
    <w:p w14:paraId="6A18CD33" w14:textId="77777777" w:rsidR="000B1010" w:rsidRPr="000B1010" w:rsidRDefault="000B1010" w:rsidP="000B1010">
      <w:pPr>
        <w:ind w:firstLine="1247"/>
        <w:jc w:val="both"/>
      </w:pPr>
      <w:r w:rsidRPr="000B1010">
        <w:t>Remiamas priedangų, kurių valdytojai yra valstybės ir savivaldybių institucijos ir įstaigos, kitos įstaigos, daugiabučių namų bendrojo naudojimo objektų valdytojai, valstybės įmonė Turto bankas, įrengimas. Priedangų, kurių valdytojai yra ūkio subjektai (išskyrus valstybės įmonę Turto banką), įrengimas neremiamas.</w:t>
      </w:r>
    </w:p>
    <w:p w14:paraId="6A18CD34" w14:textId="77777777" w:rsidR="000B1010" w:rsidRDefault="000B1010" w:rsidP="000B1010">
      <w:pPr>
        <w:ind w:firstLine="1247"/>
        <w:jc w:val="both"/>
        <w:rPr>
          <w:bCs/>
          <w:sz w:val="23"/>
          <w:szCs w:val="23"/>
        </w:rPr>
      </w:pPr>
      <w:r w:rsidRPr="000C0DB1">
        <w:rPr>
          <w:bCs/>
          <w:sz w:val="23"/>
          <w:szCs w:val="23"/>
        </w:rPr>
        <w:t>Projekto pareiškėjas – Skuodo rajono savivaldybės administracija</w:t>
      </w:r>
      <w:r>
        <w:rPr>
          <w:bCs/>
          <w:sz w:val="23"/>
          <w:szCs w:val="23"/>
        </w:rPr>
        <w:t>.</w:t>
      </w:r>
    </w:p>
    <w:p w14:paraId="6A18CD35" w14:textId="6681B069" w:rsidR="000B1010" w:rsidRPr="000C0DB1" w:rsidRDefault="00E23D3D" w:rsidP="000B1010">
      <w:pPr>
        <w:ind w:firstLine="1247"/>
        <w:jc w:val="both"/>
        <w:rPr>
          <w:bCs/>
          <w:sz w:val="23"/>
          <w:szCs w:val="23"/>
        </w:rPr>
      </w:pPr>
      <w:r>
        <w:rPr>
          <w:bCs/>
          <w:sz w:val="23"/>
          <w:szCs w:val="23"/>
        </w:rPr>
        <w:t>Planuojami p</w:t>
      </w:r>
      <w:r w:rsidR="000B1010" w:rsidRPr="000C0DB1">
        <w:rPr>
          <w:bCs/>
          <w:sz w:val="23"/>
          <w:szCs w:val="23"/>
        </w:rPr>
        <w:t>artneriai:</w:t>
      </w:r>
    </w:p>
    <w:p w14:paraId="6A18CD36" w14:textId="185999C4" w:rsidR="000B1010" w:rsidRPr="000642BC" w:rsidRDefault="000B1010" w:rsidP="000B1010">
      <w:pPr>
        <w:ind w:firstLine="1247"/>
        <w:jc w:val="both"/>
        <w:rPr>
          <w:sz w:val="23"/>
          <w:szCs w:val="23"/>
        </w:rPr>
      </w:pPr>
      <w:r w:rsidRPr="000642BC">
        <w:rPr>
          <w:sz w:val="23"/>
          <w:szCs w:val="23"/>
        </w:rPr>
        <w:t>Skuodo Pr</w:t>
      </w:r>
      <w:r w:rsidR="00766935">
        <w:rPr>
          <w:sz w:val="23"/>
          <w:szCs w:val="23"/>
        </w:rPr>
        <w:t>anciškaus</w:t>
      </w:r>
      <w:r w:rsidRPr="000642BC">
        <w:rPr>
          <w:sz w:val="23"/>
          <w:szCs w:val="23"/>
        </w:rPr>
        <w:t xml:space="preserve"> Žadeikio gimnazija.</w:t>
      </w:r>
    </w:p>
    <w:p w14:paraId="6A18CD37" w14:textId="27AAFEDF" w:rsidR="000B1010" w:rsidRDefault="000B1010" w:rsidP="000B1010">
      <w:pPr>
        <w:ind w:firstLine="1247"/>
        <w:jc w:val="both"/>
        <w:rPr>
          <w:sz w:val="23"/>
          <w:szCs w:val="23"/>
        </w:rPr>
      </w:pPr>
      <w:r w:rsidRPr="000642BC">
        <w:rPr>
          <w:sz w:val="23"/>
          <w:szCs w:val="23"/>
        </w:rPr>
        <w:t xml:space="preserve">Skuodo rajono </w:t>
      </w:r>
      <w:r w:rsidR="00E23D3D">
        <w:rPr>
          <w:sz w:val="23"/>
          <w:szCs w:val="23"/>
        </w:rPr>
        <w:t>kultūros centro pastatas</w:t>
      </w:r>
      <w:r w:rsidR="00A63F0E">
        <w:rPr>
          <w:sz w:val="23"/>
          <w:szCs w:val="23"/>
        </w:rPr>
        <w:t xml:space="preserve"> </w:t>
      </w:r>
      <w:r w:rsidRPr="000642BC">
        <w:rPr>
          <w:sz w:val="23"/>
          <w:szCs w:val="23"/>
        </w:rPr>
        <w:t xml:space="preserve">Ylakių </w:t>
      </w:r>
      <w:r w:rsidR="00E23D3D">
        <w:rPr>
          <w:sz w:val="23"/>
          <w:szCs w:val="23"/>
        </w:rPr>
        <w:t>skyrius</w:t>
      </w:r>
      <w:r w:rsidRPr="000642BC">
        <w:rPr>
          <w:sz w:val="23"/>
          <w:szCs w:val="23"/>
        </w:rPr>
        <w:t>.</w:t>
      </w:r>
    </w:p>
    <w:p w14:paraId="6A18CD39" w14:textId="77777777" w:rsidR="000B1010" w:rsidRDefault="000B1010" w:rsidP="000B1010">
      <w:pPr>
        <w:ind w:firstLine="1247"/>
        <w:jc w:val="both"/>
        <w:rPr>
          <w:sz w:val="23"/>
          <w:szCs w:val="23"/>
        </w:rPr>
      </w:pPr>
      <w:r>
        <w:rPr>
          <w:sz w:val="23"/>
          <w:szCs w:val="23"/>
        </w:rPr>
        <w:t>VšĮ Ylakių globos namų Barstyčių filialas.</w:t>
      </w:r>
    </w:p>
    <w:p w14:paraId="6A18CD3A" w14:textId="4134801B" w:rsidR="000B1010" w:rsidRDefault="000B1010" w:rsidP="000B1010">
      <w:pPr>
        <w:ind w:firstLine="1247"/>
        <w:jc w:val="both"/>
        <w:rPr>
          <w:sz w:val="23"/>
          <w:szCs w:val="23"/>
        </w:rPr>
      </w:pPr>
      <w:r>
        <w:rPr>
          <w:sz w:val="23"/>
          <w:szCs w:val="23"/>
        </w:rPr>
        <w:t>Skuodo amatų ir paslaugų mokykla</w:t>
      </w:r>
      <w:r w:rsidR="00766935">
        <w:rPr>
          <w:sz w:val="23"/>
          <w:szCs w:val="23"/>
        </w:rPr>
        <w:t>.</w:t>
      </w:r>
    </w:p>
    <w:p w14:paraId="6A18CD3B" w14:textId="77777777" w:rsidR="000B1010" w:rsidRDefault="000B1010" w:rsidP="000B1010">
      <w:pPr>
        <w:ind w:firstLine="1247"/>
        <w:jc w:val="both"/>
        <w:rPr>
          <w:sz w:val="23"/>
          <w:szCs w:val="23"/>
        </w:rPr>
      </w:pPr>
      <w:r>
        <w:rPr>
          <w:sz w:val="23"/>
          <w:szCs w:val="23"/>
        </w:rPr>
        <w:t xml:space="preserve">Skuodo rajono Mosėdžio gimnazija.  </w:t>
      </w:r>
    </w:p>
    <w:p w14:paraId="0E4C108A" w14:textId="1E99DE28" w:rsidR="00E23D3D" w:rsidRDefault="00E23D3D" w:rsidP="000B1010">
      <w:pPr>
        <w:ind w:firstLine="1247"/>
        <w:jc w:val="both"/>
        <w:rPr>
          <w:sz w:val="23"/>
          <w:szCs w:val="23"/>
        </w:rPr>
      </w:pPr>
      <w:r>
        <w:rPr>
          <w:sz w:val="23"/>
          <w:szCs w:val="23"/>
        </w:rPr>
        <w:t xml:space="preserve">Buvusi </w:t>
      </w:r>
      <w:proofErr w:type="spellStart"/>
      <w:r>
        <w:rPr>
          <w:sz w:val="23"/>
          <w:szCs w:val="23"/>
        </w:rPr>
        <w:t>Notėnų</w:t>
      </w:r>
      <w:proofErr w:type="spellEnd"/>
      <w:r>
        <w:rPr>
          <w:sz w:val="23"/>
          <w:szCs w:val="23"/>
        </w:rPr>
        <w:t xml:space="preserve"> pagrindinė mokykla.</w:t>
      </w:r>
    </w:p>
    <w:p w14:paraId="6A18CD3C" w14:textId="77777777" w:rsidR="000B1010" w:rsidRPr="00876D2B" w:rsidRDefault="000B1010" w:rsidP="000B1010">
      <w:pPr>
        <w:ind w:firstLine="1247"/>
        <w:jc w:val="both"/>
        <w:rPr>
          <w:sz w:val="23"/>
          <w:szCs w:val="23"/>
        </w:rPr>
      </w:pPr>
      <w:r w:rsidRPr="000C0DB1">
        <w:rPr>
          <w:b/>
          <w:sz w:val="23"/>
          <w:szCs w:val="23"/>
        </w:rPr>
        <w:t>2. Siūlomos teisinio reguliavimo nuostatos.</w:t>
      </w:r>
    </w:p>
    <w:p w14:paraId="6A18CD3D" w14:textId="721D3CF7" w:rsidR="000B1010" w:rsidRPr="00847727" w:rsidRDefault="000B1010" w:rsidP="000B1010">
      <w:pPr>
        <w:ind w:firstLine="1247"/>
        <w:jc w:val="both"/>
      </w:pPr>
      <w:r w:rsidRPr="00876D2B">
        <w:t>Vadovaujantis Lietuvos Respublikos krizių valdymo ir civilinės saugos įstatymo 7 straipsnio 20 punktu ir 28 straipsnio 7 dalimi, nuo</w:t>
      </w:r>
      <w:r w:rsidR="00766935">
        <w:t xml:space="preserve"> gyventojų</w:t>
      </w:r>
      <w:r w:rsidRPr="00876D2B">
        <w:t xml:space="preserve"> gyvybei ir sveikatai atsiradusių pavojingų veiksnių, oro pavojaus atveju </w:t>
      </w:r>
      <w:r w:rsidR="00766935">
        <w:t>galima</w:t>
      </w:r>
      <w:r w:rsidRPr="00876D2B">
        <w:t xml:space="preserve"> apsisaugoti priedangose. Priedangų infrastruktūros plėtrai rengiamas projektas</w:t>
      </w:r>
      <w:r w:rsidR="00766935">
        <w:t xml:space="preserve"> pagal </w:t>
      </w:r>
      <w:r w:rsidRPr="00876D2B">
        <w:t xml:space="preserve">VšĮ Vidaus reikalų ministerijos projektų valdymo agentūros </w:t>
      </w:r>
      <w:r>
        <w:t>„C</w:t>
      </w:r>
      <w:r w:rsidRPr="00876D2B">
        <w:t>ivilinės saugos stiprinimo ir plėtros programa</w:t>
      </w:r>
      <w:r>
        <w:t>“ kvietim</w:t>
      </w:r>
      <w:r w:rsidR="00766935">
        <w:t>ą</w:t>
      </w:r>
      <w:hyperlink r:id="rId7" w:history="1">
        <w:r w:rsidRPr="00847727">
          <w:rPr>
            <w:rStyle w:val="Hipersaitas"/>
            <w:color w:val="auto"/>
            <w:u w:val="none"/>
            <w:bdr w:val="none" w:sz="0" w:space="0" w:color="auto" w:frame="1"/>
            <w:shd w:val="clear" w:color="auto" w:fill="FFFFFF"/>
          </w:rPr>
          <w:t xml:space="preserve"> teikti paraiškas (VRM-001-K)</w:t>
        </w:r>
      </w:hyperlink>
      <w:r>
        <w:t>.</w:t>
      </w:r>
    </w:p>
    <w:p w14:paraId="6A18CD3E" w14:textId="77777777" w:rsidR="000B1010" w:rsidRPr="000C0DB1" w:rsidRDefault="000B1010" w:rsidP="000B1010">
      <w:pPr>
        <w:ind w:firstLine="1247"/>
        <w:jc w:val="both"/>
        <w:rPr>
          <w:b/>
          <w:sz w:val="23"/>
          <w:szCs w:val="23"/>
        </w:rPr>
      </w:pPr>
      <w:r w:rsidRPr="000C0DB1">
        <w:rPr>
          <w:b/>
          <w:sz w:val="23"/>
          <w:szCs w:val="23"/>
        </w:rPr>
        <w:t xml:space="preserve">3. Laukiami rezultatai. </w:t>
      </w:r>
    </w:p>
    <w:p w14:paraId="6A18CD3F" w14:textId="66B8C045" w:rsidR="000B1010" w:rsidRDefault="000B1010" w:rsidP="000B1010">
      <w:pPr>
        <w:ind w:firstLine="1247"/>
        <w:jc w:val="both"/>
      </w:pPr>
      <w:r>
        <w:t xml:space="preserve">Tinkamos finansuoti šios priedangų įrengimo, apimant įrengiamų priemonių įsigijimą (toliau – įrengimas), išlaidos: </w:t>
      </w:r>
    </w:p>
    <w:p w14:paraId="6A18CD40" w14:textId="58B510AD" w:rsidR="000B1010" w:rsidRDefault="000B1010" w:rsidP="000B1010">
      <w:pPr>
        <w:ind w:firstLine="1247"/>
        <w:jc w:val="both"/>
      </w:pPr>
      <w:r>
        <w:t>1. konstrukcijų ekspertizė;</w:t>
      </w:r>
    </w:p>
    <w:p w14:paraId="6A18CD41" w14:textId="354D8F1F" w:rsidR="000B1010" w:rsidRDefault="000B1010" w:rsidP="000B1010">
      <w:pPr>
        <w:ind w:firstLine="1247"/>
        <w:jc w:val="both"/>
      </w:pPr>
      <w:r>
        <w:t>2. statybos projekto parengimas;</w:t>
      </w:r>
    </w:p>
    <w:p w14:paraId="6A18CD42" w14:textId="7B785CAB" w:rsidR="000B1010" w:rsidRDefault="000B1010" w:rsidP="000B1010">
      <w:pPr>
        <w:ind w:firstLine="1247"/>
        <w:jc w:val="both"/>
      </w:pPr>
      <w:r>
        <w:t xml:space="preserve">3. evakuacinių išėjimų įrengimas, įskaitant evakuacinį apšvietimą; </w:t>
      </w:r>
    </w:p>
    <w:p w14:paraId="6A18CD43" w14:textId="5388061A" w:rsidR="000B1010" w:rsidRDefault="000B1010" w:rsidP="000B1010">
      <w:pPr>
        <w:ind w:firstLine="1247"/>
        <w:jc w:val="both"/>
      </w:pPr>
      <w:r>
        <w:t xml:space="preserve">4. įėjimo ir išėjimo pritaikymas riboto judumo asmenims; </w:t>
      </w:r>
    </w:p>
    <w:p w14:paraId="6A18CD44" w14:textId="245F088F" w:rsidR="000B1010" w:rsidRDefault="000B1010" w:rsidP="000B1010">
      <w:pPr>
        <w:ind w:firstLine="1247"/>
        <w:jc w:val="both"/>
      </w:pPr>
      <w:r>
        <w:t>5. apsauginių skydų langams (apsaugoti nuo stiklo šukių) įrengimas ar langų užmūrijimas;</w:t>
      </w:r>
    </w:p>
    <w:p w14:paraId="6A18CD45" w14:textId="6CD82C1D" w:rsidR="000B1010" w:rsidRDefault="000B1010" w:rsidP="000B1010">
      <w:pPr>
        <w:ind w:firstLine="1247"/>
        <w:jc w:val="both"/>
      </w:pPr>
      <w:r>
        <w:t>6. konstrukcijų stiprinimas, jeigu jos atlaiko mažesnes apkrovas, nei nustatyta Statybos reglamente;</w:t>
      </w:r>
    </w:p>
    <w:p w14:paraId="6A18CD46" w14:textId="3C215064" w:rsidR="000B1010" w:rsidRDefault="000B1010" w:rsidP="000B1010">
      <w:pPr>
        <w:ind w:firstLine="1247"/>
        <w:jc w:val="both"/>
      </w:pPr>
      <w:r>
        <w:t xml:space="preserve">7. gaisro aptikimo ir signalizavimo sistemos arba autonominio dūmų signalizatoriaus įrengimas; </w:t>
      </w:r>
    </w:p>
    <w:p w14:paraId="6A18CD47" w14:textId="6515EFE8" w:rsidR="000B1010" w:rsidRDefault="000B1010" w:rsidP="000B1010">
      <w:pPr>
        <w:ind w:firstLine="1247"/>
        <w:jc w:val="both"/>
      </w:pPr>
      <w:r>
        <w:t xml:space="preserve">8. vėdinimo sistemos įrengimas ar sutvarkymas; </w:t>
      </w:r>
    </w:p>
    <w:p w14:paraId="6A18CD48" w14:textId="6FCAC96B" w:rsidR="000B1010" w:rsidRDefault="000B1010" w:rsidP="000B1010">
      <w:pPr>
        <w:ind w:firstLine="1247"/>
        <w:jc w:val="both"/>
      </w:pPr>
      <w:r>
        <w:t>9. rezervinio elektros energijos tiekimo iš rezervinio energijos šaltinio sistemos (elektros generatoriaus) įrengimas</w:t>
      </w:r>
      <w:r w:rsidR="00766935">
        <w:t>.</w:t>
      </w:r>
    </w:p>
    <w:p w14:paraId="6A18CD49" w14:textId="35E010F0" w:rsidR="000B1010" w:rsidRDefault="000B1010" w:rsidP="000B1010">
      <w:pPr>
        <w:ind w:firstLine="1247"/>
        <w:jc w:val="both"/>
        <w:rPr>
          <w:sz w:val="23"/>
          <w:szCs w:val="23"/>
          <w:lang w:eastAsia="zh-TW"/>
        </w:rPr>
      </w:pPr>
      <w:r>
        <w:rPr>
          <w:sz w:val="23"/>
          <w:szCs w:val="23"/>
          <w:lang w:eastAsia="zh-TW"/>
        </w:rPr>
        <w:t>Privalom</w:t>
      </w:r>
      <w:r w:rsidR="00766935">
        <w:rPr>
          <w:sz w:val="23"/>
          <w:szCs w:val="23"/>
          <w:lang w:eastAsia="zh-TW"/>
        </w:rPr>
        <w:t>i</w:t>
      </w:r>
      <w:r>
        <w:rPr>
          <w:sz w:val="23"/>
          <w:szCs w:val="23"/>
          <w:lang w:eastAsia="zh-TW"/>
        </w:rPr>
        <w:t xml:space="preserve"> reikalavimai priedangų plėtrai:</w:t>
      </w:r>
    </w:p>
    <w:p w14:paraId="6A18CD4A" w14:textId="77777777" w:rsidR="000B1010" w:rsidRDefault="000B1010" w:rsidP="000B1010">
      <w:pPr>
        <w:ind w:firstLine="1247"/>
        <w:jc w:val="both"/>
        <w:rPr>
          <w:szCs w:val="24"/>
        </w:rPr>
      </w:pPr>
      <w:r>
        <w:rPr>
          <w:sz w:val="23"/>
          <w:szCs w:val="23"/>
          <w:lang w:eastAsia="zh-TW"/>
        </w:rPr>
        <w:t xml:space="preserve">1. </w:t>
      </w:r>
      <w:r>
        <w:rPr>
          <w:szCs w:val="24"/>
        </w:rPr>
        <w:t xml:space="preserve">Priedanga gali būti įrengta bet kokios paskirties statiniuose, išskyrus gamybos, pramonės ar sandėliavimo paskirties statinius, kurių gaisringumo kategorija yra </w:t>
      </w:r>
      <w:proofErr w:type="spellStart"/>
      <w:r>
        <w:rPr>
          <w:szCs w:val="24"/>
        </w:rPr>
        <w:t>Asg</w:t>
      </w:r>
      <w:proofErr w:type="spellEnd"/>
      <w:r>
        <w:rPr>
          <w:szCs w:val="24"/>
        </w:rPr>
        <w:t xml:space="preserve">, </w:t>
      </w:r>
      <w:proofErr w:type="spellStart"/>
      <w:r>
        <w:rPr>
          <w:szCs w:val="24"/>
        </w:rPr>
        <w:t>Bsg</w:t>
      </w:r>
      <w:proofErr w:type="spellEnd"/>
      <w:r>
        <w:rPr>
          <w:szCs w:val="24"/>
        </w:rPr>
        <w:t xml:space="preserve"> ar Cg.</w:t>
      </w:r>
    </w:p>
    <w:p w14:paraId="6A18CD4B" w14:textId="77777777" w:rsidR="000B1010" w:rsidRDefault="000B1010" w:rsidP="000B1010">
      <w:pPr>
        <w:ind w:firstLine="1247"/>
        <w:jc w:val="both"/>
        <w:rPr>
          <w:szCs w:val="24"/>
        </w:rPr>
      </w:pPr>
      <w:r>
        <w:rPr>
          <w:szCs w:val="24"/>
        </w:rPr>
        <w:lastRenderedPageBreak/>
        <w:t>2. Priedangos konstrukcijų elementai turi būti iš Statybos reglamente nustatytų medžiagų (monolitinio arba surenkamo gelžbetonio, mūro).</w:t>
      </w:r>
    </w:p>
    <w:p w14:paraId="6A18CD4C" w14:textId="77777777" w:rsidR="000B1010" w:rsidRDefault="000B1010" w:rsidP="000B1010">
      <w:pPr>
        <w:ind w:firstLine="1247"/>
        <w:jc w:val="both"/>
        <w:rPr>
          <w:color w:val="000000"/>
          <w:szCs w:val="24"/>
          <w:shd w:val="clear" w:color="auto" w:fill="FFFFFF"/>
        </w:rPr>
      </w:pPr>
      <w:r>
        <w:rPr>
          <w:szCs w:val="24"/>
        </w:rPr>
        <w:t xml:space="preserve">3. Priedangos konstrukcijos turi atlaikyti Statybos reglamente nustatytas sprogimo bangos ir griūties apkrovas </w:t>
      </w:r>
      <w:r>
        <w:rPr>
          <w:color w:val="000000"/>
          <w:szCs w:val="24"/>
          <w:shd w:val="clear" w:color="auto" w:fill="FFFFFF"/>
        </w:rPr>
        <w:t>ir (arba) priedangos patalpos turi būti požeminėje statinio dalyje.</w:t>
      </w:r>
    </w:p>
    <w:p w14:paraId="6A18CD4D" w14:textId="77777777" w:rsidR="000B1010" w:rsidRDefault="000B1010" w:rsidP="000B1010">
      <w:pPr>
        <w:ind w:firstLine="1247"/>
        <w:jc w:val="both"/>
        <w:rPr>
          <w:szCs w:val="24"/>
        </w:rPr>
      </w:pPr>
      <w:r>
        <w:rPr>
          <w:color w:val="000000"/>
          <w:szCs w:val="24"/>
          <w:shd w:val="clear" w:color="auto" w:fill="FFFFFF"/>
        </w:rPr>
        <w:t xml:space="preserve">4. </w:t>
      </w:r>
      <w:r>
        <w:rPr>
          <w:szCs w:val="24"/>
        </w:rPr>
        <w:t>Priedangoje turi būti mechaninio vėdinimo sistema arba natūralaus vėdinimo sistema.</w:t>
      </w:r>
    </w:p>
    <w:p w14:paraId="6A18CD4E" w14:textId="77777777" w:rsidR="000B1010" w:rsidRDefault="000B1010" w:rsidP="000B1010">
      <w:pPr>
        <w:ind w:firstLine="1247"/>
        <w:jc w:val="both"/>
        <w:rPr>
          <w:szCs w:val="24"/>
        </w:rPr>
      </w:pPr>
      <w:r>
        <w:rPr>
          <w:szCs w:val="24"/>
        </w:rPr>
        <w:t>5. Priedangoje turi būti įrengta gaisro aptikimo ir signalizavimo sistema arba stacionarioji gaisrų gesinimo sistema arba autonominis dūmų signalizatorius.</w:t>
      </w:r>
    </w:p>
    <w:p w14:paraId="6A18CD4F" w14:textId="519E0CCD" w:rsidR="000B1010" w:rsidRDefault="000B1010" w:rsidP="000B1010">
      <w:pPr>
        <w:ind w:firstLine="1247"/>
        <w:jc w:val="both"/>
      </w:pPr>
      <w:r>
        <w:rPr>
          <w:szCs w:val="24"/>
        </w:rPr>
        <w:t xml:space="preserve">Priedangose numatoma įrengti </w:t>
      </w:r>
      <w:r>
        <w:t>gaisro aptikimo ir signalizavimo sistemas arba autonominio dūmų signalizatoriaus įrengimą, vėdinimo sistemos įrengimas ar sutvarkymas;  rezervinio elektros energijos tiekimo iš rezervinio energijos šaltinio sistemos (elektros generatoriaus) įrengimas.</w:t>
      </w:r>
    </w:p>
    <w:p w14:paraId="6A18CD50" w14:textId="77777777" w:rsidR="000B1010" w:rsidRPr="000C0DB1" w:rsidRDefault="000B1010" w:rsidP="000B1010">
      <w:pPr>
        <w:ind w:firstLine="1247"/>
        <w:jc w:val="both"/>
        <w:rPr>
          <w:sz w:val="23"/>
          <w:szCs w:val="23"/>
          <w:lang w:eastAsia="zh-TW"/>
        </w:rPr>
      </w:pPr>
      <w:r w:rsidRPr="000C0DB1">
        <w:rPr>
          <w:sz w:val="23"/>
          <w:szCs w:val="23"/>
        </w:rPr>
        <w:t>Galimi pareiškėjai – savivaldybių administracijos.</w:t>
      </w:r>
    </w:p>
    <w:p w14:paraId="6A18CD51" w14:textId="77777777" w:rsidR="000B1010" w:rsidRPr="000C0DB1" w:rsidRDefault="000B1010" w:rsidP="000B1010">
      <w:pPr>
        <w:ind w:firstLine="1247"/>
        <w:jc w:val="both"/>
        <w:rPr>
          <w:sz w:val="23"/>
          <w:szCs w:val="23"/>
          <w:lang w:eastAsia="zh-TW"/>
        </w:rPr>
      </w:pPr>
      <w:r w:rsidRPr="000C0DB1">
        <w:rPr>
          <w:sz w:val="23"/>
          <w:szCs w:val="23"/>
        </w:rPr>
        <w:t xml:space="preserve">Galimi partneriai – </w:t>
      </w:r>
      <w:r>
        <w:rPr>
          <w:sz w:val="23"/>
          <w:szCs w:val="23"/>
        </w:rPr>
        <w:t>priedangų valdytojai (švietimo įstaigų vadovai, socialinių įstaigų vadovai).</w:t>
      </w:r>
    </w:p>
    <w:p w14:paraId="6A18CD52" w14:textId="77777777" w:rsidR="000B1010" w:rsidRDefault="000B1010" w:rsidP="000B1010">
      <w:pPr>
        <w:ind w:firstLine="1247"/>
        <w:jc w:val="both"/>
        <w:rPr>
          <w:sz w:val="23"/>
          <w:szCs w:val="23"/>
          <w:lang w:eastAsia="zh-TW"/>
        </w:rPr>
      </w:pPr>
      <w:r w:rsidRPr="000C0DB1">
        <w:rPr>
          <w:sz w:val="23"/>
          <w:szCs w:val="23"/>
        </w:rPr>
        <w:t xml:space="preserve"> Iki projekto sutarties sudarymo pareiškėjas su partneriu (-</w:t>
      </w:r>
      <w:proofErr w:type="spellStart"/>
      <w:r w:rsidRPr="000C0DB1">
        <w:rPr>
          <w:sz w:val="23"/>
          <w:szCs w:val="23"/>
        </w:rPr>
        <w:t>iais</w:t>
      </w:r>
      <w:proofErr w:type="spellEnd"/>
      <w:r w:rsidRPr="000C0DB1">
        <w:rPr>
          <w:sz w:val="23"/>
          <w:szCs w:val="23"/>
        </w:rPr>
        <w:t>) turi susitarti dėl tarpusavio teisių ir pareigų įgyvendinant projektą ir pateikti administruojančiajai institucijai tai įrodantį dokumentą</w:t>
      </w:r>
      <w:r>
        <w:rPr>
          <w:sz w:val="23"/>
          <w:szCs w:val="23"/>
        </w:rPr>
        <w:t xml:space="preserve"> (laisva forma)</w:t>
      </w:r>
      <w:r w:rsidRPr="000C0DB1">
        <w:rPr>
          <w:sz w:val="23"/>
          <w:szCs w:val="23"/>
        </w:rPr>
        <w:t xml:space="preserve">. </w:t>
      </w:r>
    </w:p>
    <w:p w14:paraId="6A18CD53" w14:textId="77777777" w:rsidR="000B1010" w:rsidRPr="00E23D3D" w:rsidRDefault="000B1010" w:rsidP="000B1010">
      <w:pPr>
        <w:ind w:firstLine="1247"/>
        <w:jc w:val="both"/>
        <w:rPr>
          <w:b/>
          <w:bCs/>
          <w:sz w:val="23"/>
          <w:szCs w:val="23"/>
          <w:lang w:eastAsia="zh-TW"/>
        </w:rPr>
      </w:pPr>
      <w:r w:rsidRPr="00E23D3D">
        <w:rPr>
          <w:b/>
          <w:bCs/>
        </w:rPr>
        <w:t xml:space="preserve">4. Lėšų poreikis sprendimui įgyvendinti ir jų šaltiniai. </w:t>
      </w:r>
    </w:p>
    <w:p w14:paraId="6A18CD54" w14:textId="77777777" w:rsidR="000B1010" w:rsidRPr="008C3FF5" w:rsidRDefault="000B1010" w:rsidP="000B1010">
      <w:pPr>
        <w:ind w:firstLine="1247"/>
        <w:jc w:val="both"/>
        <w:rPr>
          <w:rFonts w:eastAsia="Calibri"/>
        </w:rPr>
      </w:pPr>
      <w:r w:rsidRPr="008C3FF5">
        <w:rPr>
          <w:rFonts w:eastAsia="Calibri"/>
        </w:rPr>
        <w:t>Projekto atrankos būdas – konkursas.</w:t>
      </w:r>
    </w:p>
    <w:p w14:paraId="6A18CD55" w14:textId="77777777" w:rsidR="000B1010" w:rsidRPr="008C3FF5" w:rsidRDefault="000B1010" w:rsidP="000B1010">
      <w:pPr>
        <w:ind w:firstLine="1247"/>
        <w:jc w:val="both"/>
        <w:rPr>
          <w:rFonts w:eastAsia="Calibri"/>
        </w:rPr>
      </w:pPr>
      <w:r w:rsidRPr="008C3FF5">
        <w:rPr>
          <w:rFonts w:eastAsia="Calibri"/>
        </w:rPr>
        <w:t xml:space="preserve">Finansuojama dalis iki 100 proc. </w:t>
      </w: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3969"/>
        <w:gridCol w:w="2268"/>
      </w:tblGrid>
      <w:tr w:rsidR="000B1010" w:rsidRPr="008C3FF5" w14:paraId="6A18CD59" w14:textId="77777777" w:rsidTr="00930E6A">
        <w:tc>
          <w:tcPr>
            <w:tcW w:w="589" w:type="dxa"/>
            <w:shd w:val="clear" w:color="auto" w:fill="D9D9D9" w:themeFill="background1" w:themeFillShade="D9"/>
          </w:tcPr>
          <w:p w14:paraId="6A18CD56" w14:textId="77777777" w:rsidR="000B1010" w:rsidRPr="008C3FF5" w:rsidRDefault="000B1010" w:rsidP="00930E6A">
            <w:r w:rsidRPr="008C3FF5">
              <w:t>Eil. Nr.</w:t>
            </w:r>
          </w:p>
        </w:tc>
        <w:tc>
          <w:tcPr>
            <w:tcW w:w="3969" w:type="dxa"/>
            <w:shd w:val="clear" w:color="auto" w:fill="D9D9D9" w:themeFill="background1" w:themeFillShade="D9"/>
          </w:tcPr>
          <w:p w14:paraId="6A18CD57" w14:textId="77777777" w:rsidR="000B1010" w:rsidRPr="008C3FF5" w:rsidRDefault="000B1010" w:rsidP="00930E6A">
            <w:r w:rsidRPr="008C3FF5">
              <w:t>Savivaldybės gyventojų skaičius pagal 2024 m. oficialiąją statistiką</w:t>
            </w:r>
            <w:r w:rsidRPr="008C3FF5">
              <w:footnoteReference w:id="1"/>
            </w:r>
            <w:r w:rsidRPr="008C3FF5">
              <w:t xml:space="preserve"> </w:t>
            </w:r>
          </w:p>
        </w:tc>
        <w:tc>
          <w:tcPr>
            <w:tcW w:w="2268" w:type="dxa"/>
            <w:shd w:val="clear" w:color="auto" w:fill="D9D9D9" w:themeFill="background1" w:themeFillShade="D9"/>
          </w:tcPr>
          <w:p w14:paraId="6A18CD58" w14:textId="77777777" w:rsidR="000B1010" w:rsidRPr="008C3FF5" w:rsidRDefault="000B1010" w:rsidP="00930E6A">
            <w:r w:rsidRPr="008C3FF5">
              <w:t>Maksimali projekto suma, Eur</w:t>
            </w:r>
          </w:p>
        </w:tc>
      </w:tr>
      <w:tr w:rsidR="000B1010" w:rsidRPr="008C3FF5" w14:paraId="6A18CD5D" w14:textId="77777777" w:rsidTr="00930E6A">
        <w:tc>
          <w:tcPr>
            <w:tcW w:w="589" w:type="dxa"/>
          </w:tcPr>
          <w:p w14:paraId="6A18CD5A" w14:textId="77777777" w:rsidR="000B1010" w:rsidRPr="008C3FF5" w:rsidRDefault="000B1010" w:rsidP="00930E6A">
            <w:r w:rsidRPr="008C3FF5">
              <w:t>1.</w:t>
            </w:r>
          </w:p>
        </w:tc>
        <w:tc>
          <w:tcPr>
            <w:tcW w:w="3969" w:type="dxa"/>
          </w:tcPr>
          <w:p w14:paraId="6A18CD5B" w14:textId="77777777" w:rsidR="000B1010" w:rsidRPr="008C3FF5" w:rsidRDefault="000B1010" w:rsidP="00930E6A">
            <w:r w:rsidRPr="008C3FF5">
              <w:t>&lt;50 000</w:t>
            </w:r>
          </w:p>
        </w:tc>
        <w:tc>
          <w:tcPr>
            <w:tcW w:w="2268" w:type="dxa"/>
          </w:tcPr>
          <w:p w14:paraId="6A18CD5C" w14:textId="77777777" w:rsidR="000B1010" w:rsidRPr="008C3FF5" w:rsidRDefault="000B1010" w:rsidP="00930E6A">
            <w:r w:rsidRPr="008C3FF5">
              <w:t>200 000</w:t>
            </w:r>
          </w:p>
        </w:tc>
      </w:tr>
      <w:tr w:rsidR="000B1010" w:rsidRPr="008C3FF5" w14:paraId="6A18CD61" w14:textId="77777777" w:rsidTr="00930E6A">
        <w:tc>
          <w:tcPr>
            <w:tcW w:w="589" w:type="dxa"/>
          </w:tcPr>
          <w:p w14:paraId="6A18CD5E" w14:textId="77777777" w:rsidR="000B1010" w:rsidRPr="008C3FF5" w:rsidRDefault="000B1010" w:rsidP="00930E6A">
            <w:r w:rsidRPr="008C3FF5">
              <w:t>2.</w:t>
            </w:r>
          </w:p>
        </w:tc>
        <w:tc>
          <w:tcPr>
            <w:tcW w:w="3969" w:type="dxa"/>
          </w:tcPr>
          <w:p w14:paraId="6A18CD5F" w14:textId="77777777" w:rsidR="000B1010" w:rsidRPr="008C3FF5" w:rsidRDefault="000B1010" w:rsidP="00930E6A">
            <w:r w:rsidRPr="008C3FF5">
              <w:t>50 001 – 100 000</w:t>
            </w:r>
          </w:p>
        </w:tc>
        <w:tc>
          <w:tcPr>
            <w:tcW w:w="2268" w:type="dxa"/>
          </w:tcPr>
          <w:p w14:paraId="6A18CD60" w14:textId="77777777" w:rsidR="000B1010" w:rsidRPr="008C3FF5" w:rsidRDefault="000B1010" w:rsidP="00930E6A">
            <w:r w:rsidRPr="008C3FF5">
              <w:t>300 000</w:t>
            </w:r>
          </w:p>
        </w:tc>
      </w:tr>
      <w:tr w:rsidR="000B1010" w:rsidRPr="008C3FF5" w14:paraId="6A18CD65" w14:textId="77777777" w:rsidTr="00930E6A">
        <w:tc>
          <w:tcPr>
            <w:tcW w:w="589" w:type="dxa"/>
          </w:tcPr>
          <w:p w14:paraId="6A18CD62" w14:textId="77777777" w:rsidR="000B1010" w:rsidRPr="008C3FF5" w:rsidRDefault="000B1010" w:rsidP="00930E6A">
            <w:r w:rsidRPr="008C3FF5">
              <w:t>3.</w:t>
            </w:r>
          </w:p>
        </w:tc>
        <w:tc>
          <w:tcPr>
            <w:tcW w:w="3969" w:type="dxa"/>
          </w:tcPr>
          <w:p w14:paraId="6A18CD63" w14:textId="77777777" w:rsidR="000B1010" w:rsidRPr="008C3FF5" w:rsidRDefault="000B1010" w:rsidP="00930E6A">
            <w:r w:rsidRPr="008C3FF5">
              <w:t>100 001 – 150 000</w:t>
            </w:r>
          </w:p>
        </w:tc>
        <w:tc>
          <w:tcPr>
            <w:tcW w:w="2268" w:type="dxa"/>
          </w:tcPr>
          <w:p w14:paraId="6A18CD64" w14:textId="77777777" w:rsidR="000B1010" w:rsidRPr="008C3FF5" w:rsidRDefault="000B1010" w:rsidP="00930E6A">
            <w:r w:rsidRPr="008C3FF5">
              <w:t>450 000</w:t>
            </w:r>
          </w:p>
        </w:tc>
      </w:tr>
      <w:tr w:rsidR="000B1010" w:rsidRPr="008C3FF5" w14:paraId="6A18CD69" w14:textId="77777777" w:rsidTr="00930E6A">
        <w:tc>
          <w:tcPr>
            <w:tcW w:w="589" w:type="dxa"/>
          </w:tcPr>
          <w:p w14:paraId="6A18CD66" w14:textId="77777777" w:rsidR="000B1010" w:rsidRPr="008C3FF5" w:rsidRDefault="000B1010" w:rsidP="00930E6A">
            <w:r w:rsidRPr="008C3FF5">
              <w:t>4.</w:t>
            </w:r>
          </w:p>
        </w:tc>
        <w:tc>
          <w:tcPr>
            <w:tcW w:w="3969" w:type="dxa"/>
          </w:tcPr>
          <w:p w14:paraId="6A18CD67" w14:textId="77777777" w:rsidR="000B1010" w:rsidRPr="008C3FF5" w:rsidRDefault="000B1010" w:rsidP="00930E6A">
            <w:r w:rsidRPr="008C3FF5">
              <w:t>150 001 – 350 000</w:t>
            </w:r>
          </w:p>
        </w:tc>
        <w:tc>
          <w:tcPr>
            <w:tcW w:w="2268" w:type="dxa"/>
          </w:tcPr>
          <w:p w14:paraId="6A18CD68" w14:textId="77777777" w:rsidR="000B1010" w:rsidRPr="008C3FF5" w:rsidRDefault="000B1010" w:rsidP="00930E6A">
            <w:r w:rsidRPr="008C3FF5">
              <w:t>1 250 000</w:t>
            </w:r>
          </w:p>
        </w:tc>
      </w:tr>
      <w:tr w:rsidR="000B1010" w:rsidRPr="008C3FF5" w14:paraId="6A18CD6D" w14:textId="77777777" w:rsidTr="00930E6A">
        <w:tc>
          <w:tcPr>
            <w:tcW w:w="589" w:type="dxa"/>
          </w:tcPr>
          <w:p w14:paraId="6A18CD6A" w14:textId="77777777" w:rsidR="000B1010" w:rsidRPr="008C3FF5" w:rsidRDefault="000B1010" w:rsidP="00930E6A">
            <w:r w:rsidRPr="008C3FF5">
              <w:t>5.</w:t>
            </w:r>
          </w:p>
        </w:tc>
        <w:tc>
          <w:tcPr>
            <w:tcW w:w="3969" w:type="dxa"/>
          </w:tcPr>
          <w:p w14:paraId="6A18CD6B" w14:textId="77777777" w:rsidR="000B1010" w:rsidRPr="008C3FF5" w:rsidRDefault="000B1010" w:rsidP="00930E6A">
            <w:r w:rsidRPr="008C3FF5">
              <w:t>&gt;350 000</w:t>
            </w:r>
          </w:p>
        </w:tc>
        <w:tc>
          <w:tcPr>
            <w:tcW w:w="2268" w:type="dxa"/>
          </w:tcPr>
          <w:p w14:paraId="6A18CD6C" w14:textId="77777777" w:rsidR="000B1010" w:rsidRPr="008C3FF5" w:rsidRDefault="000B1010" w:rsidP="00930E6A">
            <w:r w:rsidRPr="008C3FF5">
              <w:t>2 500 000</w:t>
            </w:r>
          </w:p>
        </w:tc>
      </w:tr>
    </w:tbl>
    <w:p w14:paraId="6A18CD6E" w14:textId="77777777" w:rsidR="000B1010" w:rsidRPr="008C3FF5" w:rsidRDefault="000B1010" w:rsidP="000B1010">
      <w:r w:rsidRPr="008C3FF5">
        <w:t>Orientacinė investicijų suma į vieną priedangą – ≤ 40 000 Eur.</w:t>
      </w:r>
    </w:p>
    <w:p w14:paraId="6A18CD6F" w14:textId="77777777" w:rsidR="000B1010" w:rsidRPr="00E23D3D" w:rsidRDefault="000B1010" w:rsidP="00F91D0F">
      <w:pPr>
        <w:ind w:firstLine="1298"/>
        <w:jc w:val="both"/>
        <w:rPr>
          <w:b/>
          <w:bCs/>
        </w:rPr>
      </w:pPr>
      <w:r w:rsidRPr="00E23D3D">
        <w:rPr>
          <w:b/>
          <w:bCs/>
        </w:rPr>
        <w:t>5. Sprendimo projekto autorius ir (ar) autorių grupė.</w:t>
      </w:r>
    </w:p>
    <w:bookmarkEnd w:id="2"/>
    <w:p w14:paraId="6A18CD71" w14:textId="32E81E82" w:rsidR="00570808" w:rsidRDefault="000B1010" w:rsidP="00C02BB0">
      <w:pPr>
        <w:ind w:firstLine="1298"/>
        <w:jc w:val="both"/>
      </w:pPr>
      <w:r w:rsidRPr="008C3FF5">
        <w:t>Rengėja ir pranešėja – Skuodo rajono savivaldybės administracijos patarėja, atliekanti savivaldybės parengties pareigūno funkcijas Edita Jautakienė</w:t>
      </w:r>
      <w:bookmarkEnd w:id="1"/>
      <w:r w:rsidRPr="008C3FF5">
        <w:t xml:space="preserve">. </w:t>
      </w:r>
      <w:bookmarkEnd w:id="0"/>
    </w:p>
    <w:p w14:paraId="38785264" w14:textId="77777777" w:rsidR="00C02BB0" w:rsidRDefault="00C02BB0" w:rsidP="00C02BB0">
      <w:pPr>
        <w:ind w:firstLine="1298"/>
        <w:jc w:val="both"/>
      </w:pPr>
    </w:p>
    <w:sectPr w:rsidR="00C02BB0" w:rsidSect="00E23D3D">
      <w:headerReference w:type="defaul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C6DA1" w14:textId="77777777" w:rsidR="00000A9A" w:rsidRDefault="00000A9A" w:rsidP="000B1010">
      <w:r>
        <w:separator/>
      </w:r>
    </w:p>
  </w:endnote>
  <w:endnote w:type="continuationSeparator" w:id="0">
    <w:p w14:paraId="55614DA2" w14:textId="77777777" w:rsidR="00000A9A" w:rsidRDefault="00000A9A" w:rsidP="000B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5004B" w14:textId="77777777" w:rsidR="00000A9A" w:rsidRDefault="00000A9A" w:rsidP="000B1010">
      <w:r>
        <w:separator/>
      </w:r>
    </w:p>
  </w:footnote>
  <w:footnote w:type="continuationSeparator" w:id="0">
    <w:p w14:paraId="54866F5A" w14:textId="77777777" w:rsidR="00000A9A" w:rsidRDefault="00000A9A" w:rsidP="000B1010">
      <w:r>
        <w:continuationSeparator/>
      </w:r>
    </w:p>
  </w:footnote>
  <w:footnote w:id="1">
    <w:p w14:paraId="6A18CD76" w14:textId="77777777" w:rsidR="000B1010" w:rsidRPr="00C02BB0" w:rsidRDefault="000B1010" w:rsidP="00C02BB0">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6111932"/>
      <w:docPartObj>
        <w:docPartGallery w:val="Page Numbers (Top of Page)"/>
        <w:docPartUnique/>
      </w:docPartObj>
    </w:sdtPr>
    <w:sdtContent>
      <w:p w14:paraId="1608DD2C" w14:textId="5D7AF1CB" w:rsidR="00766935" w:rsidRDefault="00766935">
        <w:pPr>
          <w:pStyle w:val="Antrats"/>
          <w:jc w:val="center"/>
        </w:pPr>
        <w:r>
          <w:fldChar w:fldCharType="begin"/>
        </w:r>
        <w:r>
          <w:instrText>PAGE   \* MERGEFORMAT</w:instrText>
        </w:r>
        <w:r>
          <w:fldChar w:fldCharType="separate"/>
        </w:r>
        <w:r w:rsidR="00E23D3D">
          <w:rPr>
            <w:noProof/>
          </w:rPr>
          <w:t>2</w:t>
        </w:r>
        <w:r>
          <w:fldChar w:fldCharType="end"/>
        </w:r>
      </w:p>
    </w:sdtContent>
  </w:sdt>
  <w:p w14:paraId="4FD9D0C8" w14:textId="77777777" w:rsidR="00766935" w:rsidRDefault="0076693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B040D3"/>
    <w:multiLevelType w:val="hybridMultilevel"/>
    <w:tmpl w:val="5D224FC2"/>
    <w:lvl w:ilvl="0" w:tplc="26EEE908">
      <w:start w:val="1"/>
      <w:numFmt w:val="decimal"/>
      <w:lvlText w:val="%1."/>
      <w:lvlJc w:val="left"/>
      <w:pPr>
        <w:ind w:left="1658" w:hanging="360"/>
      </w:pPr>
      <w:rPr>
        <w:rFonts w:hint="default"/>
        <w:b w:val="0"/>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16cid:durableId="1987468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010"/>
    <w:rsid w:val="00000A9A"/>
    <w:rsid w:val="000B1010"/>
    <w:rsid w:val="0042031F"/>
    <w:rsid w:val="00570808"/>
    <w:rsid w:val="00766935"/>
    <w:rsid w:val="008800DB"/>
    <w:rsid w:val="00A63F0E"/>
    <w:rsid w:val="00C02BB0"/>
    <w:rsid w:val="00D5554D"/>
    <w:rsid w:val="00E23D3D"/>
    <w:rsid w:val="00F91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CD28"/>
  <w15:chartTrackingRefBased/>
  <w15:docId w15:val="{9EB50883-891A-4C4F-9468-74E1BBF41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B101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B1010"/>
    <w:pPr>
      <w:spacing w:after="200" w:line="276" w:lineRule="auto"/>
      <w:ind w:left="720"/>
      <w:contextualSpacing/>
    </w:pPr>
    <w:rPr>
      <w:rFonts w:asciiTheme="minorHAnsi" w:eastAsiaTheme="minorEastAsia" w:hAnsiTheme="minorHAnsi" w:cstheme="minorBidi"/>
      <w:sz w:val="22"/>
      <w:szCs w:val="22"/>
      <w:lang w:eastAsia="lt-LT"/>
    </w:rPr>
  </w:style>
  <w:style w:type="character" w:styleId="Hipersaitas">
    <w:name w:val="Hyperlink"/>
    <w:basedOn w:val="Numatytasispastraiposriftas"/>
    <w:uiPriority w:val="99"/>
    <w:semiHidden/>
    <w:unhideWhenUsed/>
    <w:rsid w:val="000B1010"/>
    <w:rPr>
      <w:color w:val="0000FF"/>
      <w:u w:val="single"/>
    </w:rPr>
  </w:style>
  <w:style w:type="paragraph" w:styleId="Pataisymai">
    <w:name w:val="Revision"/>
    <w:hidden/>
    <w:uiPriority w:val="99"/>
    <w:semiHidden/>
    <w:rsid w:val="00766935"/>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766935"/>
    <w:pPr>
      <w:tabs>
        <w:tab w:val="center" w:pos="4819"/>
        <w:tab w:val="right" w:pos="9638"/>
      </w:tabs>
    </w:pPr>
  </w:style>
  <w:style w:type="character" w:customStyle="1" w:styleId="AntratsDiagrama">
    <w:name w:val="Antraštės Diagrama"/>
    <w:basedOn w:val="Numatytasispastraiposriftas"/>
    <w:link w:val="Antrats"/>
    <w:uiPriority w:val="99"/>
    <w:rsid w:val="007669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766935"/>
    <w:pPr>
      <w:tabs>
        <w:tab w:val="center" w:pos="4819"/>
        <w:tab w:val="right" w:pos="9638"/>
      </w:tabs>
    </w:pPr>
  </w:style>
  <w:style w:type="character" w:customStyle="1" w:styleId="PoratDiagrama">
    <w:name w:val="Poraštė Diagrama"/>
    <w:basedOn w:val="Numatytasispastraiposriftas"/>
    <w:link w:val="Porat"/>
    <w:uiPriority w:val="99"/>
    <w:rsid w:val="007669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E23D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23D3D"/>
    <w:rPr>
      <w:rFonts w:ascii="Segoe UI" w:eastAsia="Times New Roman" w:hAnsi="Segoe UI" w:cs="Segoe UI"/>
      <w:sz w:val="18"/>
      <w:szCs w:val="18"/>
    </w:rPr>
  </w:style>
  <w:style w:type="paragraph" w:styleId="Puslapioinaostekstas">
    <w:name w:val="footnote text"/>
    <w:basedOn w:val="prastasis"/>
    <w:link w:val="PuslapioinaostekstasDiagrama"/>
    <w:uiPriority w:val="99"/>
    <w:semiHidden/>
    <w:unhideWhenUsed/>
    <w:rsid w:val="00C02BB0"/>
    <w:rPr>
      <w:sz w:val="20"/>
    </w:rPr>
  </w:style>
  <w:style w:type="character" w:customStyle="1" w:styleId="PuslapioinaostekstasDiagrama">
    <w:name w:val="Puslapio išnašos tekstas Diagrama"/>
    <w:basedOn w:val="Numatytasispastraiposriftas"/>
    <w:link w:val="Puslapioinaostekstas"/>
    <w:uiPriority w:val="99"/>
    <w:semiHidden/>
    <w:rsid w:val="00C02BB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va.lrv.lt/lt/civilines-saugos-stiprinimo-ir-pletros-programa/kvietimas-teikti-paraiskas-vrm-001-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3014</Words>
  <Characters>1719</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Jautakienė, Edita</dc:creator>
  <cp:lastModifiedBy>Sadauskienė, Dalia</cp:lastModifiedBy>
  <cp:revision>3</cp:revision>
  <dcterms:created xsi:type="dcterms:W3CDTF">2024-12-10T07:08:00Z</dcterms:created>
  <dcterms:modified xsi:type="dcterms:W3CDTF">2024-12-10T07:15:00Z</dcterms:modified>
</cp:coreProperties>
</file>